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FF" w:rsidRDefault="00511BFF" w:rsidP="00DC10D4">
      <w:pPr>
        <w:pStyle w:val="Rubrik2"/>
        <w:ind w:right="849"/>
        <w:rPr>
          <w:sz w:val="32"/>
        </w:rPr>
      </w:pPr>
    </w:p>
    <w:p w:rsidR="00511BFF" w:rsidRDefault="00703042" w:rsidP="00DC10D4">
      <w:pPr>
        <w:pStyle w:val="Rubrik2"/>
        <w:ind w:right="849"/>
      </w:pPr>
      <w:r w:rsidRPr="00511BFF">
        <w:rPr>
          <w:sz w:val="32"/>
        </w:rPr>
        <w:t>Regler för kommunalt partistöd i Vindelns kommun</w:t>
      </w:r>
      <w:r>
        <w:br/>
      </w:r>
    </w:p>
    <w:p w:rsidR="00703042" w:rsidRPr="00F359C5" w:rsidRDefault="00F359C5" w:rsidP="00DC10D4">
      <w:pPr>
        <w:pStyle w:val="Rubrik2"/>
        <w:ind w:right="849"/>
      </w:pPr>
      <w:r w:rsidRPr="00F359C5">
        <w:t xml:space="preserve">Antagen av kommunfullmäktige den </w:t>
      </w:r>
      <w:r w:rsidR="003E505F">
        <w:t>14 juni 2022</w:t>
      </w:r>
      <w:r w:rsidR="003E2E9E">
        <w:t xml:space="preserve">, § </w:t>
      </w:r>
      <w:r w:rsidR="003E505F">
        <w:t>65</w:t>
      </w:r>
      <w:bookmarkStart w:id="0" w:name="_GoBack"/>
      <w:bookmarkEnd w:id="0"/>
      <w:r w:rsidR="003E2E9E">
        <w:t>.</w:t>
      </w:r>
      <w:r w:rsidR="00DC10D4">
        <w:t xml:space="preserve"> G</w:t>
      </w:r>
      <w:r>
        <w:t>äller</w:t>
      </w:r>
      <w:r w:rsidR="003E2E9E">
        <w:t xml:space="preserve"> från och med den 1 januari 2023</w:t>
      </w:r>
      <w:r>
        <w:t xml:space="preserve"> och tillsvidare. </w:t>
      </w:r>
    </w:p>
    <w:p w:rsidR="00703042" w:rsidRDefault="00703042" w:rsidP="00DC10D4">
      <w:pPr>
        <w:ind w:right="849"/>
      </w:pPr>
    </w:p>
    <w:p w:rsidR="00703042" w:rsidRDefault="00703042" w:rsidP="00DC10D4">
      <w:pPr>
        <w:ind w:right="849"/>
      </w:pPr>
      <w:r>
        <w:t xml:space="preserve">I </w:t>
      </w:r>
      <w:r w:rsidR="009859D1" w:rsidRPr="00F359C5">
        <w:t>4</w:t>
      </w:r>
      <w:r w:rsidR="00C5577D" w:rsidRPr="00F359C5">
        <w:t xml:space="preserve"> kap. </w:t>
      </w:r>
      <w:r w:rsidR="009859D1" w:rsidRPr="00F359C5">
        <w:t xml:space="preserve">29-32 </w:t>
      </w:r>
      <w:r w:rsidR="00C5577D" w:rsidRPr="00F359C5">
        <w:t xml:space="preserve">§ </w:t>
      </w:r>
      <w:r w:rsidRPr="00F359C5">
        <w:t>kommunallagen</w:t>
      </w:r>
      <w:r>
        <w:t xml:space="preserve"> (</w:t>
      </w:r>
      <w:r w:rsidR="009859D1">
        <w:t>SFS 2017:725</w:t>
      </w:r>
      <w:r>
        <w:t xml:space="preserve">) finns de </w:t>
      </w:r>
      <w:r w:rsidR="0056616D">
        <w:t>grundläggande bestämmelserna om</w:t>
      </w:r>
      <w:r>
        <w:t xml:space="preserve"> kommunalt partistöd.  </w:t>
      </w:r>
    </w:p>
    <w:p w:rsidR="00F536BD" w:rsidRDefault="00F536BD" w:rsidP="00DC10D4">
      <w:pPr>
        <w:ind w:right="849"/>
      </w:pPr>
    </w:p>
    <w:p w:rsidR="006172E3" w:rsidRDefault="00703042" w:rsidP="00DC10D4">
      <w:pPr>
        <w:ind w:right="849"/>
      </w:pPr>
      <w:r>
        <w:t xml:space="preserve">I Vindelns kommun ska därutöver följande gälla. </w:t>
      </w:r>
    </w:p>
    <w:p w:rsidR="00703042" w:rsidRDefault="00703042" w:rsidP="00DC10D4">
      <w:pPr>
        <w:pStyle w:val="Rubrik4"/>
        <w:ind w:right="849"/>
      </w:pPr>
      <w:r>
        <w:t xml:space="preserve">1 § Rätt till partistöd </w:t>
      </w:r>
    </w:p>
    <w:p w:rsidR="00703042" w:rsidRDefault="00703042" w:rsidP="00DC10D4">
      <w:pPr>
        <w:ind w:right="849"/>
      </w:pPr>
      <w:r>
        <w:t>Det lokala partistödet i Vindelns kommun utgår till partier som är representerade i enlighet med vad som föreskrivs i 2 kap. 9 andra stycket kommunallagen.</w:t>
      </w:r>
    </w:p>
    <w:p w:rsidR="00703042" w:rsidRPr="00E3354E" w:rsidRDefault="00703042" w:rsidP="00DC10D4">
      <w:pPr>
        <w:pStyle w:val="Rubrik4"/>
        <w:ind w:right="849"/>
      </w:pPr>
      <w:r>
        <w:t>2</w:t>
      </w:r>
      <w:r w:rsidRPr="00E3354E">
        <w:t xml:space="preserve"> § Grundstöd och mandatstöd</w:t>
      </w:r>
    </w:p>
    <w:p w:rsidR="00703042" w:rsidRPr="003E505F" w:rsidRDefault="00703042" w:rsidP="00DC10D4">
      <w:pPr>
        <w:ind w:right="849"/>
      </w:pPr>
      <w:r w:rsidRPr="003E505F">
        <w:t>Partistödet består av</w:t>
      </w:r>
      <w:r w:rsidR="000800DA" w:rsidRPr="003E505F">
        <w:t>:</w:t>
      </w:r>
      <w:r w:rsidRPr="003E505F">
        <w:t xml:space="preserve"> </w:t>
      </w:r>
    </w:p>
    <w:p w:rsidR="00703042" w:rsidRPr="003E505F" w:rsidRDefault="00703042" w:rsidP="00DC10D4">
      <w:pPr>
        <w:tabs>
          <w:tab w:val="left" w:pos="426"/>
        </w:tabs>
        <w:ind w:left="284" w:right="849"/>
      </w:pPr>
      <w:r w:rsidRPr="003E505F">
        <w:t>-</w:t>
      </w:r>
      <w:r w:rsidRPr="003E505F">
        <w:tab/>
        <w:t xml:space="preserve">ett grundstöd, som uppgår till om </w:t>
      </w:r>
      <w:r w:rsidR="003E2E9E" w:rsidRPr="003E505F">
        <w:t>10</w:t>
      </w:r>
      <w:r w:rsidRPr="003E505F">
        <w:t xml:space="preserve"> 000 kronor per parti och år, samt</w:t>
      </w:r>
    </w:p>
    <w:p w:rsidR="00703042" w:rsidRPr="003E505F" w:rsidRDefault="00703042" w:rsidP="00DC10D4">
      <w:pPr>
        <w:tabs>
          <w:tab w:val="left" w:pos="426"/>
        </w:tabs>
        <w:ind w:left="284" w:right="849"/>
      </w:pPr>
      <w:r w:rsidRPr="003E505F">
        <w:t>-</w:t>
      </w:r>
      <w:r w:rsidRPr="003E505F">
        <w:tab/>
        <w:t xml:space="preserve">ett mandatstöd, som uppgår till </w:t>
      </w:r>
      <w:r w:rsidR="003E2E9E" w:rsidRPr="003E505F">
        <w:t>7</w:t>
      </w:r>
      <w:r w:rsidRPr="003E505F">
        <w:t xml:space="preserve"> 000 kronor per mandat </w:t>
      </w:r>
      <w:r w:rsidR="008A6ED8" w:rsidRPr="003E505F">
        <w:t xml:space="preserve">i kommunfullmäktige </w:t>
      </w:r>
      <w:r w:rsidRPr="003E505F">
        <w:t xml:space="preserve">och år. </w:t>
      </w:r>
    </w:p>
    <w:p w:rsidR="00703042" w:rsidRPr="003E505F" w:rsidRDefault="00703042" w:rsidP="00DC10D4">
      <w:pPr>
        <w:pStyle w:val="Rubrik4"/>
        <w:ind w:right="849"/>
      </w:pPr>
      <w:r w:rsidRPr="003E505F">
        <w:t>3 § Fördelning av partistöd</w:t>
      </w:r>
    </w:p>
    <w:p w:rsidR="00F150D3" w:rsidRPr="003E505F" w:rsidRDefault="00703042" w:rsidP="00DC10D4">
      <w:pPr>
        <w:ind w:right="849"/>
      </w:pPr>
      <w:r w:rsidRPr="003E505F">
        <w:t>Vid fördelningen av partistöd beaktas endast mandat för vilken en vald ledamot är fastställd enligt 14 kap vallagen (2005:837).</w:t>
      </w:r>
      <w:r w:rsidRPr="003E505F">
        <w:rPr>
          <w:color w:val="FF0000"/>
        </w:rPr>
        <w:t xml:space="preserve"> </w:t>
      </w:r>
      <w:r w:rsidR="00F150D3" w:rsidRPr="003E505F">
        <w:t xml:space="preserve">Ingen ersättning utgår </w:t>
      </w:r>
      <w:r w:rsidR="00511BFF" w:rsidRPr="003E505F">
        <w:t xml:space="preserve">därför </w:t>
      </w:r>
      <w:r w:rsidR="00F150D3" w:rsidRPr="003E505F">
        <w:t xml:space="preserve">till </w:t>
      </w:r>
      <w:r w:rsidR="00511BFF" w:rsidRPr="003E505F">
        <w:t>parti som saknar förtroendevald (tom</w:t>
      </w:r>
      <w:r w:rsidR="00F150D3" w:rsidRPr="003E505F">
        <w:t xml:space="preserve"> stol). </w:t>
      </w:r>
    </w:p>
    <w:p w:rsidR="00E16B0D" w:rsidRPr="003E505F" w:rsidRDefault="00E16B0D" w:rsidP="00DC10D4">
      <w:pPr>
        <w:ind w:right="849"/>
      </w:pPr>
    </w:p>
    <w:p w:rsidR="00E16B0D" w:rsidRDefault="00E16B0D" w:rsidP="00DC10D4">
      <w:pPr>
        <w:ind w:right="849"/>
      </w:pPr>
      <w:r w:rsidRPr="003E505F">
        <w:t>Om ett parti aldrig deltar med någon av sina ledamöter eller ersättare</w:t>
      </w:r>
      <w:r w:rsidR="003B33B8" w:rsidRPr="003E505F">
        <w:t xml:space="preserve"> </w:t>
      </w:r>
      <w:r w:rsidR="00926362" w:rsidRPr="003E505F">
        <w:t xml:space="preserve">i kommunfullmäktige </w:t>
      </w:r>
      <w:r w:rsidR="003B33B8" w:rsidRPr="003E505F">
        <w:t>under ett kalenderår</w:t>
      </w:r>
      <w:r w:rsidRPr="003E505F">
        <w:t xml:space="preserve"> </w:t>
      </w:r>
      <w:r w:rsidR="00035D44" w:rsidRPr="003E505F">
        <w:t>betalas inget partistöd ut till det aktuella par</w:t>
      </w:r>
      <w:r w:rsidR="008D1920" w:rsidRPr="003E505F">
        <w:t>ti</w:t>
      </w:r>
      <w:r w:rsidR="00035D44" w:rsidRPr="003E505F">
        <w:t>et.</w:t>
      </w:r>
      <w:r>
        <w:t xml:space="preserve"> </w:t>
      </w:r>
    </w:p>
    <w:p w:rsidR="00703042" w:rsidRDefault="00703042" w:rsidP="00DC10D4">
      <w:pPr>
        <w:pStyle w:val="Rubrik4"/>
        <w:ind w:right="849"/>
      </w:pPr>
      <w:r>
        <w:t xml:space="preserve">4 § Redovisning och granskning </w:t>
      </w:r>
    </w:p>
    <w:p w:rsidR="008D2CA6" w:rsidRPr="00F359C5" w:rsidRDefault="00E742E8" w:rsidP="00DC10D4">
      <w:pPr>
        <w:ind w:right="849"/>
      </w:pPr>
      <w:r w:rsidRPr="00F359C5">
        <w:t xml:space="preserve">Ett parti som fått partistöd ska årligen lämna en skriftlig redovisning som visar att </w:t>
      </w:r>
      <w:r w:rsidR="00B20380" w:rsidRPr="00F359C5">
        <w:t>föregående års parti- och mandatstöd</w:t>
      </w:r>
      <w:r w:rsidRPr="00F359C5">
        <w:t xml:space="preserve"> har använts för </w:t>
      </w:r>
      <w:r w:rsidR="00BA4959" w:rsidRPr="00F359C5">
        <w:t xml:space="preserve">att stärka partiets ställning i den kommunala demokratin. </w:t>
      </w:r>
      <w:r w:rsidR="008D2CA6" w:rsidRPr="00F359C5">
        <w:t xml:space="preserve">Redovisningen ska gälla perioden 1 januari – 31 december.  </w:t>
      </w:r>
    </w:p>
    <w:p w:rsidR="00276AC6" w:rsidRPr="00F359C5" w:rsidRDefault="00276AC6" w:rsidP="00DC10D4">
      <w:pPr>
        <w:ind w:right="849"/>
      </w:pPr>
    </w:p>
    <w:p w:rsidR="00276AC6" w:rsidRPr="00F359C5" w:rsidRDefault="00276AC6" w:rsidP="00DC10D4">
      <w:pPr>
        <w:ind w:right="849"/>
      </w:pPr>
      <w:r w:rsidRPr="00F359C5">
        <w:t xml:space="preserve">Ett parti som fått partistöd ska utse en granskare. Denne granskar om den skriftliga redovisningen ger en rättvisande bild av hur partiet har använt partistödet. </w:t>
      </w:r>
      <w:r w:rsidR="00CC1821" w:rsidRPr="00F359C5">
        <w:t xml:space="preserve">Granskarens rapport ska bifogas redovisningen. </w:t>
      </w:r>
    </w:p>
    <w:p w:rsidR="008D2CA6" w:rsidRPr="00F359C5" w:rsidRDefault="008D2CA6" w:rsidP="00DC10D4">
      <w:pPr>
        <w:ind w:right="849"/>
      </w:pPr>
    </w:p>
    <w:p w:rsidR="00B20380" w:rsidRPr="00F276C3" w:rsidRDefault="003149B6" w:rsidP="00DC10D4">
      <w:pPr>
        <w:ind w:right="849"/>
      </w:pPr>
      <w:r w:rsidRPr="00F359C5">
        <w:t>Den s</w:t>
      </w:r>
      <w:r w:rsidR="003846A5" w:rsidRPr="00F359C5">
        <w:t>kriftlig</w:t>
      </w:r>
      <w:r w:rsidRPr="00F359C5">
        <w:t>a</w:t>
      </w:r>
      <w:r w:rsidR="003846A5" w:rsidRPr="00F359C5">
        <w:t xml:space="preserve"> r</w:t>
      </w:r>
      <w:r w:rsidR="00C95A4D" w:rsidRPr="00F359C5">
        <w:t>edo</w:t>
      </w:r>
      <w:r w:rsidR="003846A5" w:rsidRPr="00F359C5">
        <w:t>visning</w:t>
      </w:r>
      <w:r w:rsidRPr="00F359C5">
        <w:t>en</w:t>
      </w:r>
      <w:r w:rsidR="003846A5" w:rsidRPr="00F359C5">
        <w:t xml:space="preserve"> och granskningsrapport</w:t>
      </w:r>
      <w:r w:rsidRPr="00F359C5">
        <w:t>en</w:t>
      </w:r>
      <w:r w:rsidR="008D2CA6" w:rsidRPr="00F359C5">
        <w:t xml:space="preserve"> ska </w:t>
      </w:r>
      <w:r w:rsidR="00E2622B" w:rsidRPr="00F359C5">
        <w:t xml:space="preserve">lämnas in till </w:t>
      </w:r>
      <w:r w:rsidRPr="00F359C5">
        <w:lastRenderedPageBreak/>
        <w:t xml:space="preserve">kommunstyrelsen </w:t>
      </w:r>
      <w:r w:rsidR="008D2CA6" w:rsidRPr="00F359C5">
        <w:t>senast</w:t>
      </w:r>
      <w:r w:rsidRPr="00F359C5">
        <w:t xml:space="preserve"> den</w:t>
      </w:r>
      <w:r w:rsidR="008D2CA6" w:rsidRPr="00F359C5">
        <w:t xml:space="preserve"> 30 juni</w:t>
      </w:r>
      <w:r w:rsidR="008031A3" w:rsidRPr="00F359C5">
        <w:t>.</w:t>
      </w:r>
      <w:r w:rsidR="008031A3" w:rsidRPr="00F276C3">
        <w:t xml:space="preserve"> </w:t>
      </w:r>
    </w:p>
    <w:p w:rsidR="00703042" w:rsidRPr="00E3354E" w:rsidRDefault="00703042" w:rsidP="00DC10D4">
      <w:pPr>
        <w:pStyle w:val="Rubrik4"/>
        <w:ind w:right="849"/>
      </w:pPr>
      <w:r>
        <w:t xml:space="preserve">5 </w:t>
      </w:r>
      <w:r w:rsidRPr="00E3354E">
        <w:t>§ Årlig utbetalning</w:t>
      </w:r>
      <w:r>
        <w:t xml:space="preserve"> </w:t>
      </w:r>
    </w:p>
    <w:p w:rsidR="00FF5102" w:rsidRPr="00F359C5" w:rsidRDefault="00250ACC" w:rsidP="00DC10D4">
      <w:pPr>
        <w:ind w:right="849"/>
      </w:pPr>
      <w:r w:rsidRPr="00F359C5">
        <w:t xml:space="preserve">Kommunfullmäktige ska </w:t>
      </w:r>
      <w:r w:rsidR="0022290D" w:rsidRPr="00F359C5">
        <w:t>årligen</w:t>
      </w:r>
      <w:r w:rsidR="00FC58D7" w:rsidRPr="00F359C5">
        <w:t xml:space="preserve"> </w:t>
      </w:r>
      <w:r w:rsidR="0022290D" w:rsidRPr="00F359C5">
        <w:t xml:space="preserve">behandla </w:t>
      </w:r>
      <w:r w:rsidR="00511BFF" w:rsidRPr="00F359C5">
        <w:t>partiernas</w:t>
      </w:r>
      <w:r w:rsidR="00F150D3" w:rsidRPr="00F359C5">
        <w:t xml:space="preserve"> </w:t>
      </w:r>
      <w:r w:rsidR="0022290D" w:rsidRPr="00F359C5">
        <w:t>redovisning</w:t>
      </w:r>
      <w:r w:rsidR="00511BFF" w:rsidRPr="00F359C5">
        <w:t>s-</w:t>
      </w:r>
      <w:r w:rsidR="0022290D" w:rsidRPr="00F359C5">
        <w:t xml:space="preserve"> och </w:t>
      </w:r>
      <w:r w:rsidR="00511BFF" w:rsidRPr="00F359C5">
        <w:t>gransknings</w:t>
      </w:r>
      <w:r w:rsidR="0022290D" w:rsidRPr="00F359C5">
        <w:t>rapport</w:t>
      </w:r>
      <w:r w:rsidR="00511BFF" w:rsidRPr="00F359C5">
        <w:t>er</w:t>
      </w:r>
      <w:r w:rsidR="0022290D" w:rsidRPr="00F359C5">
        <w:t xml:space="preserve">. Detta sker vid </w:t>
      </w:r>
      <w:r w:rsidR="00511BFF" w:rsidRPr="00F359C5">
        <w:t>höstens första sammanträde som vanligtvis genomförs</w:t>
      </w:r>
      <w:r w:rsidR="0022290D" w:rsidRPr="00F359C5">
        <w:t xml:space="preserve"> i september. Vid detta sammanträde tar kommunfullmäktige även beslut</w:t>
      </w:r>
      <w:r w:rsidR="00FF5102" w:rsidRPr="00F359C5">
        <w:t xml:space="preserve"> </w:t>
      </w:r>
      <w:r w:rsidR="00511BFF" w:rsidRPr="00F359C5">
        <w:t>om</w:t>
      </w:r>
      <w:r w:rsidR="00FF5102" w:rsidRPr="00F359C5">
        <w:t xml:space="preserve"> utbetalning av</w:t>
      </w:r>
      <w:r w:rsidR="00511BFF" w:rsidRPr="00F359C5">
        <w:t xml:space="preserve"> nästkomma</w:t>
      </w:r>
      <w:r w:rsidR="00B544E6">
        <w:t>nde</w:t>
      </w:r>
      <w:r w:rsidR="00511BFF" w:rsidRPr="00F359C5">
        <w:t xml:space="preserve"> års</w:t>
      </w:r>
      <w:r w:rsidR="00FF5102" w:rsidRPr="00F359C5">
        <w:t xml:space="preserve"> partistöd. </w:t>
      </w:r>
    </w:p>
    <w:p w:rsidR="00FF5102" w:rsidRPr="00F359C5" w:rsidRDefault="00FF5102" w:rsidP="00DC10D4">
      <w:pPr>
        <w:ind w:right="849"/>
      </w:pPr>
    </w:p>
    <w:p w:rsidR="00703042" w:rsidRPr="00F276C3" w:rsidRDefault="00703042" w:rsidP="00DC10D4">
      <w:pPr>
        <w:ind w:right="849"/>
      </w:pPr>
      <w:r w:rsidRPr="00F359C5">
        <w:t>Partistöd betalas ut årligen under januari månad</w:t>
      </w:r>
      <w:r w:rsidR="0022290D" w:rsidRPr="00F359C5">
        <w:t xml:space="preserve"> om kommunfullmäktige</w:t>
      </w:r>
      <w:r w:rsidR="0088176E" w:rsidRPr="00F359C5">
        <w:t xml:space="preserve"> vid höstens första sammanträde,</w:t>
      </w:r>
      <w:r w:rsidR="0022290D" w:rsidRPr="00F359C5">
        <w:t xml:space="preserve"> beslutar att godkänna redovisning</w:t>
      </w:r>
      <w:r w:rsidR="00511BFF" w:rsidRPr="00F359C5">
        <w:t>-</w:t>
      </w:r>
      <w:r w:rsidR="0022290D" w:rsidRPr="00F359C5">
        <w:t xml:space="preserve"> och granskningsrapport</w:t>
      </w:r>
      <w:r w:rsidR="00511BFF" w:rsidRPr="00F359C5">
        <w:t>en</w:t>
      </w:r>
      <w:r w:rsidR="0022290D" w:rsidRPr="00F359C5">
        <w:t xml:space="preserve">. </w:t>
      </w:r>
      <w:r w:rsidRPr="00F359C5">
        <w:t xml:space="preserve">Har redovisning och granskningsrapport enligt 2 kap. 11 § andra stycket kommunallagen inte lämnats in till kommunstyrelsen inom föreskriven tid </w:t>
      </w:r>
      <w:r w:rsidR="008031A3" w:rsidRPr="00F359C5">
        <w:t xml:space="preserve">kan kommunfullmäktige besluta om att </w:t>
      </w:r>
      <w:r w:rsidRPr="00F359C5">
        <w:t>inget stöd</w:t>
      </w:r>
      <w:r w:rsidR="008031A3" w:rsidRPr="00F359C5">
        <w:t xml:space="preserve"> utbetalas</w:t>
      </w:r>
      <w:r w:rsidRPr="00F359C5">
        <w:t xml:space="preserve"> för nästkommande år</w:t>
      </w:r>
      <w:r w:rsidR="007825DE" w:rsidRPr="00F359C5">
        <w:t>et</w:t>
      </w:r>
      <w:r w:rsidRPr="00F359C5">
        <w:t>.</w:t>
      </w:r>
      <w:r w:rsidRPr="00F276C3">
        <w:t xml:space="preserve"> </w:t>
      </w:r>
    </w:p>
    <w:p w:rsidR="00893839" w:rsidRDefault="00893839" w:rsidP="00DC10D4">
      <w:pPr>
        <w:ind w:right="849"/>
      </w:pPr>
    </w:p>
    <w:sectPr w:rsidR="00893839" w:rsidSect="00E9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235" w:right="703" w:bottom="1276" w:left="1559" w:header="851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6D" w:rsidRDefault="00DB1A6D">
      <w:r>
        <w:separator/>
      </w:r>
    </w:p>
  </w:endnote>
  <w:endnote w:type="continuationSeparator" w:id="0">
    <w:p w:rsidR="00DB1A6D" w:rsidRDefault="00D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Text14L-600w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54" w:rsidRDefault="002B31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4B" w:rsidRDefault="008D3A4B" w:rsidP="002B51E3">
    <w:pPr>
      <w:pStyle w:val="Sidfot"/>
      <w:tabs>
        <w:tab w:val="left" w:pos="8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4B" w:rsidRDefault="00703042" w:rsidP="000C4868">
    <w:pPr>
      <w:pStyle w:val="Sidfot"/>
      <w:tabs>
        <w:tab w:val="left" w:pos="1985"/>
        <w:tab w:val="left" w:pos="3402"/>
        <w:tab w:val="left" w:pos="4253"/>
        <w:tab w:val="left" w:pos="5812"/>
        <w:tab w:val="left" w:pos="7371"/>
      </w:tabs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029960" cy="0"/>
              <wp:effectExtent l="9525" t="5080" r="889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DE78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" strokeweight=".25pt">
              <v:fill o:detectmouseclick="t"/>
              <v:shadow opacity="22938f" offset="0"/>
            </v:line>
          </w:pict>
        </mc:Fallback>
      </mc:AlternateContent>
    </w:r>
  </w:p>
  <w:p w:rsidR="008D3A4B" w:rsidRDefault="008D3A4B" w:rsidP="000C4868">
    <w:pPr>
      <w:pStyle w:val="Sidfot"/>
      <w:tabs>
        <w:tab w:val="left" w:pos="1843"/>
        <w:tab w:val="left" w:pos="3402"/>
        <w:tab w:val="left" w:pos="4253"/>
        <w:tab w:val="left" w:pos="5670"/>
        <w:tab w:val="left" w:pos="7088"/>
      </w:tabs>
    </w:pPr>
    <w:r w:rsidRPr="008515AD">
      <w:t>Vindelns ko</w:t>
    </w:r>
    <w:r>
      <w:t>mmun</w:t>
    </w:r>
    <w:r>
      <w:tab/>
      <w:t>Besöksadress:</w:t>
    </w:r>
    <w:r>
      <w:tab/>
    </w:r>
    <w:r>
      <w:tab/>
      <w:t>Växel:</w:t>
    </w:r>
    <w:r>
      <w:tab/>
      <w:t>Fax:</w:t>
    </w:r>
    <w:r>
      <w:tab/>
      <w:t>vindelns.</w:t>
    </w:r>
    <w:r w:rsidRPr="00E5257B">
      <w:t>kommun@vindeln.se</w:t>
    </w:r>
  </w:p>
  <w:p w:rsidR="008D3A4B" w:rsidRPr="000F7A30" w:rsidRDefault="008D3A4B" w:rsidP="000C4868">
    <w:pPr>
      <w:pStyle w:val="Sidfot"/>
      <w:tabs>
        <w:tab w:val="left" w:pos="1843"/>
        <w:tab w:val="left" w:pos="3402"/>
        <w:tab w:val="left" w:pos="4253"/>
        <w:tab w:val="left" w:pos="5670"/>
        <w:tab w:val="left" w:pos="7088"/>
      </w:tabs>
    </w:pPr>
    <w:r w:rsidRPr="008515AD">
      <w:t>922 81 Vindeln</w:t>
    </w:r>
    <w:r w:rsidRPr="008515AD">
      <w:tab/>
      <w:t>Kommun</w:t>
    </w:r>
    <w:r>
      <w:t>al</w:t>
    </w:r>
    <w:r w:rsidRPr="008515AD">
      <w:t>husvägen 11</w:t>
    </w:r>
    <w:r w:rsidRPr="008515AD">
      <w:tab/>
      <w:t>0933-140 00</w:t>
    </w:r>
    <w:r w:rsidRPr="008515AD">
      <w:tab/>
      <w:t>0933-140 03</w:t>
    </w:r>
    <w:r w:rsidRPr="008515AD">
      <w:tab/>
      <w:t>www.vindeln</w:t>
    </w:r>
    <w: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6D" w:rsidRDefault="00DB1A6D">
      <w:r>
        <w:separator/>
      </w:r>
    </w:p>
  </w:footnote>
  <w:footnote w:type="continuationSeparator" w:id="0">
    <w:p w:rsidR="00DB1A6D" w:rsidRDefault="00DB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4B" w:rsidRDefault="008D3A4B"/>
  <w:p w:rsidR="008D3A4B" w:rsidRDefault="008D3A4B"/>
  <w:p w:rsidR="008D3A4B" w:rsidRDefault="008D3A4B"/>
  <w:p w:rsidR="008D3A4B" w:rsidRDefault="008D3A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4678"/>
      <w:gridCol w:w="2814"/>
      <w:gridCol w:w="2006"/>
    </w:tblGrid>
    <w:tr w:rsidR="008D3A4B" w:rsidRPr="003F660D">
      <w:trPr>
        <w:cantSplit/>
        <w:trHeight w:hRule="exact" w:val="227"/>
      </w:trPr>
      <w:tc>
        <w:tcPr>
          <w:tcW w:w="4678" w:type="dxa"/>
          <w:vMerge w:val="restart"/>
          <w:shd w:val="clear" w:color="auto" w:fill="auto"/>
          <w:tcMar>
            <w:left w:w="0" w:type="dxa"/>
          </w:tcMar>
        </w:tcPr>
        <w:p w:rsidR="008D3A4B" w:rsidRPr="00CA5297" w:rsidRDefault="00703042" w:rsidP="002B51E3">
          <w:pPr>
            <w:pStyle w:val="Sidfot"/>
          </w:pPr>
          <w:r w:rsidRPr="00CA5297">
            <w:rPr>
              <w:lang w:val="sv-SE" w:eastAsia="sv-SE"/>
            </w:rPr>
            <w:drawing>
              <wp:inline distT="0" distB="0" distL="0" distR="0">
                <wp:extent cx="1506855" cy="733425"/>
                <wp:effectExtent l="0" t="0" r="0" b="9525"/>
                <wp:docPr id="1" name="Bildobjekt 13" descr="Vindeln_logo_fär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3" descr="Vindeln_logo_fär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3A4B" w:rsidRPr="00CA5297" w:rsidRDefault="008D3A4B" w:rsidP="002B51E3">
          <w:pPr>
            <w:pStyle w:val="Sidfot"/>
          </w:pPr>
        </w:p>
      </w:tc>
      <w:tc>
        <w:tcPr>
          <w:tcW w:w="2814" w:type="dxa"/>
        </w:tcPr>
        <w:p w:rsidR="008D3A4B" w:rsidRPr="00CA5297" w:rsidRDefault="008D3A4B" w:rsidP="002B51E3">
          <w:pPr>
            <w:pStyle w:val="Sidfot"/>
            <w:ind w:left="-108"/>
          </w:pPr>
        </w:p>
      </w:tc>
      <w:tc>
        <w:tcPr>
          <w:tcW w:w="2006" w:type="dxa"/>
          <w:tcMar>
            <w:left w:w="0" w:type="dxa"/>
          </w:tcMar>
        </w:tcPr>
        <w:p w:rsidR="008D3A4B" w:rsidRPr="00CA5297" w:rsidRDefault="008D3A4B" w:rsidP="002B51E3">
          <w:pPr>
            <w:pStyle w:val="Sidfot"/>
            <w:tabs>
              <w:tab w:val="right" w:pos="2006"/>
            </w:tabs>
          </w:pPr>
          <w:r w:rsidRPr="00CA5297">
            <w:rPr>
              <w:lang w:val="sv-SE"/>
            </w:rPr>
            <w:tab/>
          </w:r>
          <w:r w:rsidRPr="00CA5297">
            <w:t xml:space="preserve">Sida </w:t>
          </w:r>
          <w:r w:rsidRPr="00CA5297">
            <w:fldChar w:fldCharType="begin"/>
          </w:r>
          <w:r w:rsidRPr="00CA5297">
            <w:instrText xml:space="preserve"> PAGE </w:instrText>
          </w:r>
          <w:r w:rsidRPr="00CA5297">
            <w:fldChar w:fldCharType="separate"/>
          </w:r>
          <w:r w:rsidR="003E505F">
            <w:t>2</w:t>
          </w:r>
          <w:r w:rsidRPr="00CA5297">
            <w:fldChar w:fldCharType="end"/>
          </w:r>
          <w:r w:rsidRPr="00CA5297">
            <w:t>(</w:t>
          </w:r>
          <w:r w:rsidRPr="00CA5297">
            <w:fldChar w:fldCharType="begin"/>
          </w:r>
          <w:r w:rsidRPr="00CA5297">
            <w:instrText xml:space="preserve"> NUMPAGES </w:instrText>
          </w:r>
          <w:r w:rsidRPr="00CA5297">
            <w:fldChar w:fldCharType="separate"/>
          </w:r>
          <w:r w:rsidR="003E505F">
            <w:t>2</w:t>
          </w:r>
          <w:r w:rsidRPr="00CA5297">
            <w:fldChar w:fldCharType="end"/>
          </w:r>
          <w:r w:rsidRPr="00CA5297">
            <w:t>)</w:t>
          </w:r>
        </w:p>
      </w:tc>
    </w:tr>
    <w:tr w:rsidR="008D3A4B" w:rsidRPr="003F660D">
      <w:trPr>
        <w:cantSplit/>
        <w:trHeight w:hRule="exact" w:val="227"/>
      </w:trPr>
      <w:tc>
        <w:tcPr>
          <w:tcW w:w="4678" w:type="dxa"/>
          <w:vMerge/>
          <w:shd w:val="clear" w:color="auto" w:fill="auto"/>
          <w:tcMar>
            <w:left w:w="0" w:type="dxa"/>
          </w:tcMar>
        </w:tcPr>
        <w:p w:rsidR="008D3A4B" w:rsidRPr="00CA5297" w:rsidRDefault="008D3A4B" w:rsidP="002B51E3">
          <w:pPr>
            <w:pStyle w:val="Sidfot"/>
            <w:rPr>
              <w:lang w:val="sv-SE" w:eastAsia="sv-SE"/>
            </w:rPr>
          </w:pPr>
        </w:p>
      </w:tc>
      <w:tc>
        <w:tcPr>
          <w:tcW w:w="2814" w:type="dxa"/>
        </w:tcPr>
        <w:p w:rsidR="008D3A4B" w:rsidRPr="00CA5297" w:rsidRDefault="008D3A4B" w:rsidP="002B51E3">
          <w:pPr>
            <w:pStyle w:val="Sidfot"/>
            <w:ind w:left="-108"/>
          </w:pPr>
        </w:p>
      </w:tc>
      <w:tc>
        <w:tcPr>
          <w:tcW w:w="2006" w:type="dxa"/>
          <w:tcMar>
            <w:left w:w="0" w:type="dxa"/>
          </w:tcMar>
        </w:tcPr>
        <w:p w:rsidR="008D3A4B" w:rsidRPr="00CA5297" w:rsidRDefault="008D3A4B" w:rsidP="0029543E">
          <w:pPr>
            <w:pStyle w:val="Sidfot"/>
            <w:tabs>
              <w:tab w:val="center" w:pos="949"/>
              <w:tab w:val="right" w:pos="2006"/>
            </w:tabs>
          </w:pPr>
        </w:p>
      </w:tc>
    </w:tr>
    <w:tr w:rsidR="008D3A4B" w:rsidRPr="003F660D">
      <w:trPr>
        <w:cantSplit/>
        <w:trHeight w:hRule="exact" w:val="227"/>
      </w:trPr>
      <w:tc>
        <w:tcPr>
          <w:tcW w:w="4678" w:type="dxa"/>
          <w:vMerge/>
          <w:shd w:val="clear" w:color="auto" w:fill="auto"/>
          <w:tcMar>
            <w:left w:w="0" w:type="dxa"/>
          </w:tcMar>
        </w:tcPr>
        <w:p w:rsidR="008D3A4B" w:rsidRPr="00CA5297" w:rsidRDefault="008D3A4B" w:rsidP="002B51E3">
          <w:pPr>
            <w:pStyle w:val="Sidfot"/>
            <w:rPr>
              <w:lang w:val="sv-SE" w:eastAsia="sv-SE"/>
            </w:rPr>
          </w:pPr>
        </w:p>
      </w:tc>
      <w:tc>
        <w:tcPr>
          <w:tcW w:w="2814" w:type="dxa"/>
        </w:tcPr>
        <w:p w:rsidR="008D3A4B" w:rsidRPr="00CA5297" w:rsidRDefault="008D3A4B" w:rsidP="002B51E3">
          <w:pPr>
            <w:pStyle w:val="Sidfot"/>
            <w:ind w:left="-108"/>
          </w:pPr>
        </w:p>
      </w:tc>
      <w:tc>
        <w:tcPr>
          <w:tcW w:w="2006" w:type="dxa"/>
          <w:tcMar>
            <w:left w:w="0" w:type="dxa"/>
          </w:tcMar>
        </w:tcPr>
        <w:p w:rsidR="008D3A4B" w:rsidRPr="00CA5297" w:rsidRDefault="008D3A4B" w:rsidP="002B51E3">
          <w:pPr>
            <w:pStyle w:val="Sidfot"/>
            <w:tabs>
              <w:tab w:val="right" w:pos="2006"/>
            </w:tabs>
            <w:rPr>
              <w:lang w:val="sv-SE"/>
            </w:rPr>
          </w:pPr>
        </w:p>
      </w:tc>
    </w:tr>
    <w:tr w:rsidR="008D3A4B" w:rsidRPr="003F660D">
      <w:trPr>
        <w:cantSplit/>
        <w:trHeight w:hRule="exact" w:val="227"/>
      </w:trPr>
      <w:tc>
        <w:tcPr>
          <w:tcW w:w="4678" w:type="dxa"/>
          <w:vMerge/>
          <w:shd w:val="clear" w:color="auto" w:fill="auto"/>
          <w:tcMar>
            <w:left w:w="0" w:type="dxa"/>
          </w:tcMar>
        </w:tcPr>
        <w:p w:rsidR="008D3A4B" w:rsidRPr="00CA5297" w:rsidRDefault="008D3A4B" w:rsidP="002B51E3">
          <w:pPr>
            <w:pStyle w:val="Sidfot"/>
            <w:rPr>
              <w:lang w:val="sv-SE" w:eastAsia="sv-SE"/>
            </w:rPr>
          </w:pPr>
        </w:p>
      </w:tc>
      <w:tc>
        <w:tcPr>
          <w:tcW w:w="2814" w:type="dxa"/>
        </w:tcPr>
        <w:p w:rsidR="008D3A4B" w:rsidRPr="00CA5297" w:rsidRDefault="008D3A4B" w:rsidP="002B51E3">
          <w:pPr>
            <w:pStyle w:val="Sidfot"/>
            <w:ind w:left="-108"/>
          </w:pPr>
        </w:p>
      </w:tc>
      <w:tc>
        <w:tcPr>
          <w:tcW w:w="2006" w:type="dxa"/>
          <w:tcMar>
            <w:left w:w="0" w:type="dxa"/>
          </w:tcMar>
        </w:tcPr>
        <w:p w:rsidR="008D3A4B" w:rsidRPr="00CA5297" w:rsidRDefault="008D3A4B" w:rsidP="002B51E3">
          <w:pPr>
            <w:pStyle w:val="Sidfot"/>
            <w:tabs>
              <w:tab w:val="center" w:pos="949"/>
              <w:tab w:val="right" w:pos="2006"/>
            </w:tabs>
          </w:pPr>
        </w:p>
      </w:tc>
    </w:tr>
    <w:tr w:rsidR="008D3A4B" w:rsidRPr="003F660D">
      <w:trPr>
        <w:cantSplit/>
        <w:trHeight w:hRule="exact" w:val="227"/>
      </w:trPr>
      <w:tc>
        <w:tcPr>
          <w:tcW w:w="4678" w:type="dxa"/>
          <w:vMerge/>
          <w:shd w:val="clear" w:color="auto" w:fill="auto"/>
          <w:tcMar>
            <w:left w:w="0" w:type="dxa"/>
          </w:tcMar>
        </w:tcPr>
        <w:p w:rsidR="008D3A4B" w:rsidRPr="00CA5297" w:rsidRDefault="008D3A4B" w:rsidP="002B51E3">
          <w:pPr>
            <w:pStyle w:val="Sidfot"/>
            <w:rPr>
              <w:lang w:val="sv-SE" w:eastAsia="sv-SE"/>
            </w:rPr>
          </w:pPr>
        </w:p>
      </w:tc>
      <w:tc>
        <w:tcPr>
          <w:tcW w:w="2814" w:type="dxa"/>
        </w:tcPr>
        <w:p w:rsidR="008D3A4B" w:rsidRPr="00CA5297" w:rsidRDefault="008D3A4B" w:rsidP="002B51E3">
          <w:pPr>
            <w:pStyle w:val="Sidfot"/>
            <w:ind w:left="-108"/>
          </w:pPr>
        </w:p>
      </w:tc>
      <w:tc>
        <w:tcPr>
          <w:tcW w:w="2006" w:type="dxa"/>
          <w:tcMar>
            <w:left w:w="0" w:type="dxa"/>
          </w:tcMar>
        </w:tcPr>
        <w:p w:rsidR="008D3A4B" w:rsidRPr="00CA5297" w:rsidRDefault="008D3A4B" w:rsidP="002B51E3">
          <w:pPr>
            <w:pStyle w:val="Sidfot"/>
            <w:tabs>
              <w:tab w:val="center" w:pos="949"/>
              <w:tab w:val="right" w:pos="2006"/>
            </w:tabs>
            <w:rPr>
              <w:lang w:val="sv-SE"/>
            </w:rPr>
          </w:pPr>
        </w:p>
      </w:tc>
    </w:tr>
    <w:tr w:rsidR="008D3A4B" w:rsidRPr="003F660D">
      <w:trPr>
        <w:cantSplit/>
        <w:trHeight w:hRule="exact" w:val="227"/>
      </w:trPr>
      <w:tc>
        <w:tcPr>
          <w:tcW w:w="4678" w:type="dxa"/>
          <w:vMerge/>
          <w:shd w:val="clear" w:color="auto" w:fill="auto"/>
          <w:tcMar>
            <w:left w:w="0" w:type="dxa"/>
          </w:tcMar>
        </w:tcPr>
        <w:p w:rsidR="008D3A4B" w:rsidRPr="00CA5297" w:rsidRDefault="008D3A4B" w:rsidP="002B51E3">
          <w:pPr>
            <w:pStyle w:val="Sidfot"/>
            <w:rPr>
              <w:lang w:val="sv-SE" w:eastAsia="sv-SE"/>
            </w:rPr>
          </w:pPr>
        </w:p>
      </w:tc>
      <w:tc>
        <w:tcPr>
          <w:tcW w:w="2814" w:type="dxa"/>
        </w:tcPr>
        <w:p w:rsidR="008D3A4B" w:rsidRPr="00CA5297" w:rsidRDefault="008D3A4B" w:rsidP="002B51E3">
          <w:pPr>
            <w:pStyle w:val="Sidfot"/>
            <w:ind w:left="-108"/>
          </w:pPr>
        </w:p>
      </w:tc>
      <w:tc>
        <w:tcPr>
          <w:tcW w:w="2006" w:type="dxa"/>
          <w:tcMar>
            <w:left w:w="0" w:type="dxa"/>
          </w:tcMar>
        </w:tcPr>
        <w:p w:rsidR="008D3A4B" w:rsidRPr="00CA5297" w:rsidRDefault="008D3A4B" w:rsidP="002B51E3">
          <w:pPr>
            <w:pStyle w:val="Sidfot"/>
            <w:tabs>
              <w:tab w:val="center" w:pos="949"/>
              <w:tab w:val="right" w:pos="2006"/>
            </w:tabs>
            <w:rPr>
              <w:lang w:val="sv-SE"/>
            </w:rPr>
          </w:pPr>
        </w:p>
      </w:tc>
    </w:tr>
  </w:tbl>
  <w:p w:rsidR="008D3A4B" w:rsidRPr="00DF0A3D" w:rsidRDefault="008D3A4B" w:rsidP="006B25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4820"/>
      <w:gridCol w:w="10"/>
      <w:gridCol w:w="2730"/>
      <w:gridCol w:w="1938"/>
    </w:tblGrid>
    <w:tr w:rsidR="008D3A4B" w:rsidRPr="003F660D" w:rsidTr="00945E0D">
      <w:trPr>
        <w:cantSplit/>
        <w:trHeight w:hRule="exact" w:val="284"/>
      </w:trPr>
      <w:tc>
        <w:tcPr>
          <w:tcW w:w="4830" w:type="dxa"/>
          <w:gridSpan w:val="2"/>
          <w:vMerge w:val="restart"/>
          <w:shd w:val="clear" w:color="auto" w:fill="auto"/>
          <w:tcMar>
            <w:left w:w="0" w:type="dxa"/>
          </w:tcMar>
        </w:tcPr>
        <w:p w:rsidR="008D3A4B" w:rsidRPr="00945E0D" w:rsidRDefault="00703042" w:rsidP="00BC05D9">
          <w:pPr>
            <w:pStyle w:val="Sidfot"/>
            <w:rPr>
              <w:sz w:val="24"/>
            </w:rPr>
          </w:pPr>
          <w:r w:rsidRPr="00945E0D">
            <w:rPr>
              <w:sz w:val="24"/>
              <w:lang w:val="sv-SE" w:eastAsia="sv-SE"/>
            </w:rPr>
            <w:drawing>
              <wp:inline distT="0" distB="0" distL="0" distR="0">
                <wp:extent cx="1506855" cy="733425"/>
                <wp:effectExtent l="0" t="0" r="0" b="9525"/>
                <wp:docPr id="2" name="Bildobjekt 1" descr="Vindeln_logo_fär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indeln_logo_fär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2730" w:type="dxa"/>
        </w:tcPr>
        <w:p w:rsidR="008D3A4B" w:rsidRPr="00945E0D" w:rsidRDefault="008D3A4B" w:rsidP="00BC05D9">
          <w:pPr>
            <w:pStyle w:val="Sidfot"/>
            <w:rPr>
              <w:b/>
              <w:sz w:val="24"/>
            </w:rPr>
          </w:pPr>
        </w:p>
      </w:tc>
      <w:tc>
        <w:tcPr>
          <w:tcW w:w="1938" w:type="dxa"/>
          <w:tcMar>
            <w:left w:w="0" w:type="dxa"/>
          </w:tcMar>
        </w:tcPr>
        <w:p w:rsidR="008D3A4B" w:rsidRPr="00945E0D" w:rsidRDefault="008D3A4B" w:rsidP="00400A44">
          <w:pPr>
            <w:pStyle w:val="Sidfot"/>
            <w:rPr>
              <w:sz w:val="24"/>
            </w:rPr>
          </w:pPr>
          <w:r w:rsidRPr="00945E0D">
            <w:rPr>
              <w:sz w:val="24"/>
            </w:rPr>
            <w:t xml:space="preserve">Sida </w:t>
          </w:r>
          <w:r w:rsidRPr="00945E0D">
            <w:rPr>
              <w:sz w:val="24"/>
            </w:rPr>
            <w:fldChar w:fldCharType="begin"/>
          </w:r>
          <w:r w:rsidRPr="00945E0D">
            <w:rPr>
              <w:sz w:val="24"/>
            </w:rPr>
            <w:instrText xml:space="preserve"> PAGE </w:instrText>
          </w:r>
          <w:r w:rsidRPr="00945E0D">
            <w:rPr>
              <w:sz w:val="24"/>
            </w:rPr>
            <w:fldChar w:fldCharType="separate"/>
          </w:r>
          <w:r w:rsidR="003E505F">
            <w:rPr>
              <w:sz w:val="24"/>
            </w:rPr>
            <w:t>1</w:t>
          </w:r>
          <w:r w:rsidRPr="00945E0D">
            <w:rPr>
              <w:sz w:val="24"/>
            </w:rPr>
            <w:fldChar w:fldCharType="end"/>
          </w:r>
          <w:r w:rsidRPr="00945E0D">
            <w:rPr>
              <w:sz w:val="24"/>
            </w:rPr>
            <w:t>(</w:t>
          </w:r>
          <w:r w:rsidRPr="00945E0D">
            <w:rPr>
              <w:sz w:val="24"/>
            </w:rPr>
            <w:fldChar w:fldCharType="begin"/>
          </w:r>
          <w:r w:rsidRPr="00945E0D">
            <w:rPr>
              <w:sz w:val="24"/>
            </w:rPr>
            <w:instrText xml:space="preserve"> NUMPAGES </w:instrText>
          </w:r>
          <w:r w:rsidRPr="00945E0D">
            <w:rPr>
              <w:sz w:val="24"/>
            </w:rPr>
            <w:fldChar w:fldCharType="separate"/>
          </w:r>
          <w:r w:rsidR="003E505F">
            <w:rPr>
              <w:sz w:val="24"/>
            </w:rPr>
            <w:t>2</w:t>
          </w:r>
          <w:r w:rsidRPr="00945E0D">
            <w:rPr>
              <w:sz w:val="24"/>
            </w:rPr>
            <w:fldChar w:fldCharType="end"/>
          </w:r>
          <w:r w:rsidRPr="00945E0D">
            <w:rPr>
              <w:sz w:val="24"/>
            </w:rPr>
            <w:t>)</w:t>
          </w:r>
        </w:p>
      </w:tc>
    </w:tr>
    <w:tr w:rsidR="008D3A4B" w:rsidRPr="003F660D" w:rsidTr="00945E0D">
      <w:trPr>
        <w:cantSplit/>
        <w:trHeight w:hRule="exact" w:val="284"/>
      </w:trPr>
      <w:tc>
        <w:tcPr>
          <w:tcW w:w="4830" w:type="dxa"/>
          <w:gridSpan w:val="2"/>
          <w:vMerge/>
          <w:shd w:val="clear" w:color="auto" w:fill="auto"/>
          <w:tcMar>
            <w:left w:w="0" w:type="dxa"/>
          </w:tcMar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2730" w:type="dxa"/>
        </w:tcPr>
        <w:p w:rsidR="008D3A4B" w:rsidRPr="00945E0D" w:rsidRDefault="008D3A4B" w:rsidP="00442034">
          <w:pPr>
            <w:pStyle w:val="Sidfot"/>
            <w:rPr>
              <w:sz w:val="24"/>
            </w:rPr>
          </w:pPr>
          <w:r w:rsidRPr="00945E0D">
            <w:rPr>
              <w:sz w:val="24"/>
            </w:rPr>
            <w:t>Datum</w:t>
          </w:r>
        </w:p>
      </w:tc>
      <w:tc>
        <w:tcPr>
          <w:tcW w:w="1938" w:type="dxa"/>
          <w:tcMar>
            <w:left w:w="0" w:type="dxa"/>
          </w:tcMar>
        </w:tcPr>
        <w:p w:rsidR="008D3A4B" w:rsidRPr="00945E0D" w:rsidRDefault="008D3A4B" w:rsidP="00442034">
          <w:pPr>
            <w:pStyle w:val="Sidfot"/>
            <w:ind w:left="84" w:hanging="84"/>
            <w:rPr>
              <w:sz w:val="24"/>
            </w:rPr>
          </w:pPr>
          <w:r w:rsidRPr="00945E0D">
            <w:rPr>
              <w:sz w:val="24"/>
            </w:rPr>
            <w:t>Diarienummer</w:t>
          </w:r>
        </w:p>
      </w:tc>
    </w:tr>
    <w:tr w:rsidR="008D3A4B" w:rsidRPr="003F660D" w:rsidTr="00945E0D">
      <w:trPr>
        <w:cantSplit/>
        <w:trHeight w:hRule="exact" w:val="284"/>
      </w:trPr>
      <w:tc>
        <w:tcPr>
          <w:tcW w:w="4830" w:type="dxa"/>
          <w:gridSpan w:val="2"/>
          <w:vMerge/>
          <w:shd w:val="clear" w:color="auto" w:fill="auto"/>
          <w:tcMar>
            <w:left w:w="0" w:type="dxa"/>
          </w:tcMar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2730" w:type="dxa"/>
        </w:tcPr>
        <w:p w:rsidR="008D3A4B" w:rsidRPr="00945E0D" w:rsidRDefault="003E2E9E" w:rsidP="002B3154">
          <w:pPr>
            <w:pStyle w:val="Sidfot"/>
            <w:rPr>
              <w:sz w:val="24"/>
            </w:rPr>
          </w:pPr>
          <w:r>
            <w:rPr>
              <w:sz w:val="24"/>
            </w:rPr>
            <w:t>2022-</w:t>
          </w:r>
          <w:r w:rsidR="002B3154">
            <w:rPr>
              <w:sz w:val="24"/>
            </w:rPr>
            <w:t>04-06</w:t>
          </w:r>
        </w:p>
      </w:tc>
      <w:tc>
        <w:tcPr>
          <w:tcW w:w="1938" w:type="dxa"/>
          <w:tcMar>
            <w:left w:w="0" w:type="dxa"/>
          </w:tcMar>
        </w:tcPr>
        <w:p w:rsidR="008D3A4B" w:rsidRPr="00945E0D" w:rsidRDefault="00512314" w:rsidP="003E2E9E">
          <w:pPr>
            <w:pStyle w:val="Sidfot"/>
            <w:ind w:left="84" w:hanging="84"/>
            <w:rPr>
              <w:sz w:val="24"/>
            </w:rPr>
          </w:pPr>
          <w:r>
            <w:rPr>
              <w:sz w:val="24"/>
            </w:rPr>
            <w:t>K-20</w:t>
          </w:r>
          <w:r w:rsidR="003E2E9E">
            <w:rPr>
              <w:sz w:val="24"/>
            </w:rPr>
            <w:t>22</w:t>
          </w:r>
          <w:r>
            <w:rPr>
              <w:sz w:val="24"/>
            </w:rPr>
            <w:t>-</w:t>
          </w:r>
          <w:r w:rsidR="003E2E9E">
            <w:rPr>
              <w:sz w:val="24"/>
            </w:rPr>
            <w:t>156</w:t>
          </w:r>
        </w:p>
      </w:tc>
    </w:tr>
    <w:tr w:rsidR="008D3A4B" w:rsidRPr="003F660D" w:rsidTr="00945E0D">
      <w:trPr>
        <w:cantSplit/>
        <w:trHeight w:hRule="exact" w:val="284"/>
      </w:trPr>
      <w:tc>
        <w:tcPr>
          <w:tcW w:w="4830" w:type="dxa"/>
          <w:gridSpan w:val="2"/>
          <w:vMerge/>
          <w:shd w:val="clear" w:color="auto" w:fill="auto"/>
          <w:tcMar>
            <w:left w:w="0" w:type="dxa"/>
          </w:tcMar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2730" w:type="dxa"/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1938" w:type="dxa"/>
          <w:tcMar>
            <w:left w:w="0" w:type="dxa"/>
          </w:tcMar>
        </w:tcPr>
        <w:p w:rsidR="008D3A4B" w:rsidRPr="00945E0D" w:rsidRDefault="008D3A4B" w:rsidP="00400A44">
          <w:pPr>
            <w:pStyle w:val="Sidfot"/>
            <w:ind w:left="84" w:hanging="84"/>
            <w:rPr>
              <w:sz w:val="24"/>
            </w:rPr>
          </w:pPr>
        </w:p>
      </w:tc>
    </w:tr>
    <w:tr w:rsidR="008D3A4B" w:rsidRPr="003F660D" w:rsidTr="00945E0D">
      <w:trPr>
        <w:cantSplit/>
        <w:trHeight w:hRule="exact" w:val="284"/>
      </w:trPr>
      <w:tc>
        <w:tcPr>
          <w:tcW w:w="4830" w:type="dxa"/>
          <w:gridSpan w:val="2"/>
          <w:vMerge/>
          <w:shd w:val="clear" w:color="auto" w:fill="auto"/>
          <w:tcMar>
            <w:left w:w="0" w:type="dxa"/>
          </w:tcMar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2730" w:type="dxa"/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1938" w:type="dxa"/>
          <w:tcMar>
            <w:left w:w="0" w:type="dxa"/>
          </w:tcMar>
        </w:tcPr>
        <w:p w:rsidR="008D3A4B" w:rsidRPr="00945E0D" w:rsidRDefault="008D3A4B" w:rsidP="00400A44">
          <w:pPr>
            <w:pStyle w:val="Sidfot"/>
            <w:ind w:left="84" w:hanging="84"/>
            <w:rPr>
              <w:sz w:val="24"/>
            </w:rPr>
          </w:pPr>
        </w:p>
      </w:tc>
    </w:tr>
    <w:tr w:rsidR="008D3A4B" w:rsidRPr="003F660D" w:rsidTr="003846A5">
      <w:trPr>
        <w:cantSplit/>
        <w:trHeight w:hRule="exact" w:val="285"/>
      </w:trPr>
      <w:tc>
        <w:tcPr>
          <w:tcW w:w="4830" w:type="dxa"/>
          <w:gridSpan w:val="2"/>
          <w:vMerge/>
          <w:shd w:val="clear" w:color="auto" w:fill="auto"/>
          <w:tcMar>
            <w:left w:w="0" w:type="dxa"/>
          </w:tcMar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2730" w:type="dxa"/>
        </w:tcPr>
        <w:p w:rsidR="008D3A4B" w:rsidRPr="00945E0D" w:rsidRDefault="008D3A4B" w:rsidP="00BC05D9">
          <w:pPr>
            <w:pStyle w:val="Sidfot"/>
            <w:rPr>
              <w:sz w:val="24"/>
            </w:rPr>
          </w:pPr>
        </w:p>
      </w:tc>
      <w:tc>
        <w:tcPr>
          <w:tcW w:w="1938" w:type="dxa"/>
          <w:tcMar>
            <w:left w:w="0" w:type="dxa"/>
          </w:tcMar>
        </w:tcPr>
        <w:p w:rsidR="008D3A4B" w:rsidRPr="00945E0D" w:rsidRDefault="008D3A4B" w:rsidP="00400A44">
          <w:pPr>
            <w:pStyle w:val="Sidfot"/>
            <w:ind w:left="84" w:hanging="84"/>
            <w:rPr>
              <w:sz w:val="24"/>
            </w:rPr>
          </w:pPr>
        </w:p>
      </w:tc>
    </w:tr>
    <w:tr w:rsidR="004D0210" w:rsidRPr="00571409" w:rsidTr="00F359C5">
      <w:trPr>
        <w:cantSplit/>
        <w:trHeight w:hRule="exact" w:val="284"/>
      </w:trPr>
      <w:tc>
        <w:tcPr>
          <w:tcW w:w="4820" w:type="dxa"/>
          <w:shd w:val="clear" w:color="auto" w:fill="auto"/>
          <w:tcMar>
            <w:left w:w="0" w:type="dxa"/>
          </w:tcMar>
        </w:tcPr>
        <w:p w:rsidR="004D0210" w:rsidRPr="00945E0D" w:rsidRDefault="004D0210" w:rsidP="00BC05D9">
          <w:pPr>
            <w:pStyle w:val="Sidfot"/>
            <w:rPr>
              <w:b/>
              <w:sz w:val="24"/>
            </w:rPr>
          </w:pPr>
        </w:p>
      </w:tc>
      <w:tc>
        <w:tcPr>
          <w:tcW w:w="4678" w:type="dxa"/>
          <w:gridSpan w:val="3"/>
        </w:tcPr>
        <w:p w:rsidR="004D0210" w:rsidRPr="00945E0D" w:rsidRDefault="004D0210" w:rsidP="00400A44">
          <w:pPr>
            <w:pStyle w:val="Sidfot"/>
            <w:tabs>
              <w:tab w:val="center" w:pos="949"/>
              <w:tab w:val="right" w:pos="2006"/>
            </w:tabs>
            <w:ind w:left="84" w:hanging="84"/>
            <w:rPr>
              <w:sz w:val="24"/>
            </w:rPr>
          </w:pPr>
        </w:p>
      </w:tc>
    </w:tr>
    <w:tr w:rsidR="00F359C5" w:rsidRPr="00571409" w:rsidTr="00F359C5">
      <w:trPr>
        <w:cantSplit/>
        <w:trHeight w:hRule="exact" w:val="284"/>
      </w:trPr>
      <w:tc>
        <w:tcPr>
          <w:tcW w:w="4820" w:type="dxa"/>
          <w:shd w:val="clear" w:color="auto" w:fill="auto"/>
          <w:tcMar>
            <w:left w:w="0" w:type="dxa"/>
          </w:tcMar>
        </w:tcPr>
        <w:p w:rsidR="00F359C5" w:rsidRPr="00945E0D" w:rsidRDefault="00F359C5" w:rsidP="00BC05D9">
          <w:pPr>
            <w:pStyle w:val="Sidfot"/>
            <w:rPr>
              <w:b/>
              <w:sz w:val="24"/>
            </w:rPr>
          </w:pPr>
        </w:p>
      </w:tc>
      <w:tc>
        <w:tcPr>
          <w:tcW w:w="4678" w:type="dxa"/>
          <w:gridSpan w:val="3"/>
        </w:tcPr>
        <w:p w:rsidR="00F359C5" w:rsidRPr="00945E0D" w:rsidRDefault="00F359C5" w:rsidP="00400A44">
          <w:pPr>
            <w:pStyle w:val="Sidfot"/>
            <w:tabs>
              <w:tab w:val="center" w:pos="949"/>
              <w:tab w:val="right" w:pos="2006"/>
            </w:tabs>
            <w:ind w:left="84" w:hanging="84"/>
            <w:rPr>
              <w:sz w:val="24"/>
            </w:rPr>
          </w:pPr>
        </w:p>
      </w:tc>
    </w:tr>
  </w:tbl>
  <w:p w:rsidR="008D3A4B" w:rsidRDefault="008D3A4B" w:rsidP="00DA7799">
    <w:pPr>
      <w:pStyle w:val="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525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58B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825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865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382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E47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1CB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72A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70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20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944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472A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AB934A2"/>
    <w:multiLevelType w:val="hybridMultilevel"/>
    <w:tmpl w:val="DD886290"/>
    <w:lvl w:ilvl="0" w:tplc="8550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542F"/>
    <w:multiLevelType w:val="multilevel"/>
    <w:tmpl w:val="0409001F"/>
    <w:numStyleLink w:val="111111"/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2"/>
    <w:rsid w:val="00035D44"/>
    <w:rsid w:val="000637CD"/>
    <w:rsid w:val="000727C4"/>
    <w:rsid w:val="000800DA"/>
    <w:rsid w:val="000C4868"/>
    <w:rsid w:val="000F2037"/>
    <w:rsid w:val="0013601F"/>
    <w:rsid w:val="001374D9"/>
    <w:rsid w:val="00140185"/>
    <w:rsid w:val="001E067B"/>
    <w:rsid w:val="001F0B76"/>
    <w:rsid w:val="002037EE"/>
    <w:rsid w:val="00217D20"/>
    <w:rsid w:val="0022290D"/>
    <w:rsid w:val="00240A4D"/>
    <w:rsid w:val="00250ACC"/>
    <w:rsid w:val="00276AC6"/>
    <w:rsid w:val="002852F4"/>
    <w:rsid w:val="0029543E"/>
    <w:rsid w:val="002B3154"/>
    <w:rsid w:val="002B51E3"/>
    <w:rsid w:val="002C4EA9"/>
    <w:rsid w:val="00302042"/>
    <w:rsid w:val="00314996"/>
    <w:rsid w:val="003149B6"/>
    <w:rsid w:val="003217E4"/>
    <w:rsid w:val="003846A5"/>
    <w:rsid w:val="003B33B8"/>
    <w:rsid w:val="003E2E9E"/>
    <w:rsid w:val="003E505F"/>
    <w:rsid w:val="003F08EF"/>
    <w:rsid w:val="00400A44"/>
    <w:rsid w:val="0040277B"/>
    <w:rsid w:val="00404F90"/>
    <w:rsid w:val="0041353F"/>
    <w:rsid w:val="00413B4D"/>
    <w:rsid w:val="00417A0D"/>
    <w:rsid w:val="00442034"/>
    <w:rsid w:val="00496DC0"/>
    <w:rsid w:val="004C5B16"/>
    <w:rsid w:val="004D0210"/>
    <w:rsid w:val="004E0B43"/>
    <w:rsid w:val="00505E66"/>
    <w:rsid w:val="00511BFF"/>
    <w:rsid w:val="00512314"/>
    <w:rsid w:val="0056616D"/>
    <w:rsid w:val="00575D91"/>
    <w:rsid w:val="005A22D3"/>
    <w:rsid w:val="005B43F6"/>
    <w:rsid w:val="005E53D9"/>
    <w:rsid w:val="006172E3"/>
    <w:rsid w:val="00671E9C"/>
    <w:rsid w:val="006A50D6"/>
    <w:rsid w:val="006B19C8"/>
    <w:rsid w:val="006B25D6"/>
    <w:rsid w:val="006F20A1"/>
    <w:rsid w:val="00703042"/>
    <w:rsid w:val="007224B9"/>
    <w:rsid w:val="007825DE"/>
    <w:rsid w:val="007F5541"/>
    <w:rsid w:val="008031A3"/>
    <w:rsid w:val="00857755"/>
    <w:rsid w:val="0088176E"/>
    <w:rsid w:val="00893839"/>
    <w:rsid w:val="008A6ED8"/>
    <w:rsid w:val="008D1920"/>
    <w:rsid w:val="008D2CA6"/>
    <w:rsid w:val="008D3A4B"/>
    <w:rsid w:val="008D69E8"/>
    <w:rsid w:val="00926362"/>
    <w:rsid w:val="00945E0D"/>
    <w:rsid w:val="00955B1F"/>
    <w:rsid w:val="009859D1"/>
    <w:rsid w:val="00A0645B"/>
    <w:rsid w:val="00A668A0"/>
    <w:rsid w:val="00A6793A"/>
    <w:rsid w:val="00A911A2"/>
    <w:rsid w:val="00AA340A"/>
    <w:rsid w:val="00AB679F"/>
    <w:rsid w:val="00AC33BA"/>
    <w:rsid w:val="00AF561E"/>
    <w:rsid w:val="00B01E4B"/>
    <w:rsid w:val="00B01F3E"/>
    <w:rsid w:val="00B20380"/>
    <w:rsid w:val="00B41396"/>
    <w:rsid w:val="00B43281"/>
    <w:rsid w:val="00B544E6"/>
    <w:rsid w:val="00B92C9B"/>
    <w:rsid w:val="00B956C9"/>
    <w:rsid w:val="00BA4959"/>
    <w:rsid w:val="00BA6B48"/>
    <w:rsid w:val="00BC05D9"/>
    <w:rsid w:val="00BF6DD3"/>
    <w:rsid w:val="00C06C16"/>
    <w:rsid w:val="00C500FB"/>
    <w:rsid w:val="00C5577D"/>
    <w:rsid w:val="00C6395D"/>
    <w:rsid w:val="00C73341"/>
    <w:rsid w:val="00C92741"/>
    <w:rsid w:val="00C95A4D"/>
    <w:rsid w:val="00CA5297"/>
    <w:rsid w:val="00CB42DB"/>
    <w:rsid w:val="00CC1821"/>
    <w:rsid w:val="00D1437F"/>
    <w:rsid w:val="00D32114"/>
    <w:rsid w:val="00D556C8"/>
    <w:rsid w:val="00D71687"/>
    <w:rsid w:val="00DA7799"/>
    <w:rsid w:val="00DB1839"/>
    <w:rsid w:val="00DB1A6D"/>
    <w:rsid w:val="00DC10D4"/>
    <w:rsid w:val="00DF63A6"/>
    <w:rsid w:val="00E01EF3"/>
    <w:rsid w:val="00E16B0D"/>
    <w:rsid w:val="00E2622B"/>
    <w:rsid w:val="00E423DC"/>
    <w:rsid w:val="00E435F3"/>
    <w:rsid w:val="00E4477A"/>
    <w:rsid w:val="00E45236"/>
    <w:rsid w:val="00E62A5B"/>
    <w:rsid w:val="00E6473D"/>
    <w:rsid w:val="00E742E8"/>
    <w:rsid w:val="00E81B67"/>
    <w:rsid w:val="00E94619"/>
    <w:rsid w:val="00E96837"/>
    <w:rsid w:val="00E96908"/>
    <w:rsid w:val="00EA50CF"/>
    <w:rsid w:val="00ED657F"/>
    <w:rsid w:val="00F150D3"/>
    <w:rsid w:val="00F276C3"/>
    <w:rsid w:val="00F359C5"/>
    <w:rsid w:val="00F536BD"/>
    <w:rsid w:val="00FC58D7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D49E89"/>
  <w15:chartTrackingRefBased/>
  <w15:docId w15:val="{F6363FE9-693F-4F8A-92DE-A87E58B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Vindeln"/>
    <w:qFormat/>
    <w:rsid w:val="00DA7799"/>
    <w:pPr>
      <w:widowControl w:val="0"/>
    </w:pPr>
    <w:rPr>
      <w:rFonts w:ascii="Georgia" w:eastAsia="Times New Roman" w:hAnsi="Georgia"/>
      <w:sz w:val="24"/>
    </w:rPr>
  </w:style>
  <w:style w:type="paragraph" w:styleId="Rubrik1">
    <w:name w:val="heading 1"/>
    <w:aliases w:val="Vindeln R1"/>
    <w:next w:val="Normal"/>
    <w:link w:val="Rubrik1Char"/>
    <w:autoRedefine/>
    <w:qFormat/>
    <w:rsid w:val="00D556C8"/>
    <w:pPr>
      <w:keepNext/>
      <w:keepLines/>
      <w:outlineLvl w:val="0"/>
    </w:pPr>
    <w:rPr>
      <w:rFonts w:ascii="Calibri" w:hAnsi="Calibri"/>
      <w:b/>
      <w:bCs/>
      <w:noProof/>
      <w:color w:val="000000"/>
      <w:sz w:val="28"/>
      <w:szCs w:val="28"/>
      <w:lang w:eastAsia="en-US"/>
    </w:rPr>
  </w:style>
  <w:style w:type="paragraph" w:styleId="Rubrik2">
    <w:name w:val="heading 2"/>
    <w:aliases w:val="Vindeln R2"/>
    <w:basedOn w:val="Rubrik1"/>
    <w:next w:val="Normal"/>
    <w:link w:val="Rubrik2Char"/>
    <w:qFormat/>
    <w:rsid w:val="00C92741"/>
    <w:pPr>
      <w:outlineLvl w:val="1"/>
    </w:pPr>
    <w:rPr>
      <w:sz w:val="26"/>
    </w:rPr>
  </w:style>
  <w:style w:type="paragraph" w:styleId="Rubrik3">
    <w:name w:val="heading 3"/>
    <w:aliases w:val="Rubrik 3 ArkivDigtal"/>
    <w:basedOn w:val="Rubrik2"/>
    <w:next w:val="Normal"/>
    <w:link w:val="Rubrik3Char"/>
    <w:autoRedefine/>
    <w:qFormat/>
    <w:rsid w:val="00784029"/>
    <w:pPr>
      <w:outlineLvl w:val="2"/>
    </w:pPr>
    <w:rPr>
      <w:sz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030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Vindeln R2 Char"/>
    <w:link w:val="Rubrik2"/>
    <w:rsid w:val="00C92741"/>
    <w:rPr>
      <w:rFonts w:ascii="Calibri" w:eastAsia="Cambria" w:hAnsi="Calibri"/>
      <w:b/>
      <w:bCs/>
      <w:noProof/>
      <w:color w:val="000000"/>
      <w:sz w:val="26"/>
      <w:szCs w:val="28"/>
      <w:lang w:val="sv-SE" w:eastAsia="en-US" w:bidi="ar-SA"/>
    </w:rPr>
  </w:style>
  <w:style w:type="character" w:customStyle="1" w:styleId="Rubrik3Char">
    <w:name w:val="Rubrik 3 Char"/>
    <w:aliases w:val="Rubrik 3 ArkivDigtal Char"/>
    <w:link w:val="Rubrik3"/>
    <w:rsid w:val="00784029"/>
    <w:rPr>
      <w:rFonts w:ascii="Calibri" w:hAnsi="Calibri" w:cs="Times New Roman"/>
      <w:b/>
      <w:bCs/>
      <w:noProof/>
      <w:color w:val="000000"/>
      <w:sz w:val="20"/>
      <w:szCs w:val="32"/>
    </w:rPr>
  </w:style>
  <w:style w:type="character" w:customStyle="1" w:styleId="Rubrik1Char">
    <w:name w:val="Rubrik 1 Char"/>
    <w:aliases w:val="Vindeln R1 Char"/>
    <w:link w:val="Rubrik1"/>
    <w:rsid w:val="00D556C8"/>
    <w:rPr>
      <w:rFonts w:ascii="Calibri" w:eastAsia="Cambria" w:hAnsi="Calibri"/>
      <w:b/>
      <w:bCs/>
      <w:noProof/>
      <w:color w:val="000000"/>
      <w:sz w:val="28"/>
      <w:szCs w:val="28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semiHidden/>
    <w:rsid w:val="007030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fot">
    <w:name w:val="footer"/>
    <w:aliases w:val="sidhuvud,Vindeln"/>
    <w:basedOn w:val="Normal"/>
    <w:link w:val="SidfotChar"/>
    <w:unhideWhenUsed/>
    <w:rsid w:val="00DA7799"/>
    <w:pPr>
      <w:widowControl/>
    </w:pPr>
    <w:rPr>
      <w:rFonts w:ascii="Calibri" w:eastAsia="Cambria" w:hAnsi="Calibri" w:cs="Arial"/>
      <w:noProof/>
      <w:sz w:val="20"/>
      <w:szCs w:val="24"/>
      <w:lang w:val="de-DE" w:eastAsia="en-US"/>
    </w:rPr>
  </w:style>
  <w:style w:type="character" w:customStyle="1" w:styleId="SidfotChar">
    <w:name w:val="Sidfot Char"/>
    <w:aliases w:val="sidhuvud Char,Vindeln Char"/>
    <w:link w:val="Sidfot"/>
    <w:rsid w:val="00DA7799"/>
    <w:rPr>
      <w:rFonts w:ascii="Calibri" w:eastAsia="Cambria" w:hAnsi="Calibri" w:cs="Arial"/>
      <w:noProof/>
      <w:szCs w:val="24"/>
      <w:lang w:val="de-DE" w:eastAsia="en-US" w:bidi="ar-SA"/>
    </w:rPr>
  </w:style>
  <w:style w:type="paragraph" w:styleId="Brdtext">
    <w:name w:val="Body Text"/>
    <w:basedOn w:val="kapitelrubriksidhuvud"/>
    <w:link w:val="BrdtextChar"/>
    <w:semiHidden/>
    <w:rsid w:val="00C73341"/>
    <w:rPr>
      <w:rFonts w:ascii="Georgia" w:hAnsi="Georgia" w:cs="Georgia"/>
      <w:sz w:val="20"/>
      <w:szCs w:val="20"/>
    </w:rPr>
  </w:style>
  <w:style w:type="character" w:customStyle="1" w:styleId="BrdtextChar">
    <w:name w:val="Brödtext Char"/>
    <w:link w:val="Brdtext"/>
    <w:rsid w:val="00C73341"/>
    <w:rPr>
      <w:rFonts w:ascii="Georgia" w:hAnsi="Georgia" w:cs="Georgia"/>
      <w:color w:val="000000"/>
      <w:sz w:val="20"/>
      <w:szCs w:val="20"/>
      <w:lang w:val="en-US"/>
    </w:rPr>
  </w:style>
  <w:style w:type="paragraph" w:customStyle="1" w:styleId="kapitelrubriksidhuvud">
    <w:name w:val="kapitelrubrik sidhuvud"/>
    <w:basedOn w:val="Normal"/>
    <w:uiPriority w:val="99"/>
    <w:semiHidden/>
    <w:rsid w:val="00955B1F"/>
    <w:pPr>
      <w:autoSpaceDE w:val="0"/>
      <w:autoSpaceDN w:val="0"/>
      <w:adjustRightInd w:val="0"/>
      <w:spacing w:line="288" w:lineRule="auto"/>
      <w:textAlignment w:val="center"/>
    </w:pPr>
    <w:rPr>
      <w:rFonts w:ascii="TitilliumText14L-600wt" w:eastAsia="Cambria" w:hAnsi="TitilliumText14L-600wt" w:cs="TitilliumText14L-600wt"/>
      <w:color w:val="000000"/>
      <w:sz w:val="28"/>
      <w:szCs w:val="28"/>
      <w:lang w:val="en-US" w:eastAsia="en-US"/>
    </w:rPr>
  </w:style>
  <w:style w:type="paragraph" w:styleId="Ballongtext">
    <w:name w:val="Balloon Text"/>
    <w:basedOn w:val="Normal"/>
    <w:link w:val="BallongtextChar"/>
    <w:semiHidden/>
    <w:rsid w:val="00321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217E4"/>
    <w:rPr>
      <w:rFonts w:ascii="Tahoma" w:eastAsia="Times New Roman" w:hAnsi="Tahoma" w:cs="Tahoma"/>
      <w:sz w:val="16"/>
      <w:szCs w:val="16"/>
      <w:lang w:eastAsia="sv-SE"/>
    </w:rPr>
  </w:style>
  <w:style w:type="numbering" w:styleId="111111">
    <w:name w:val="Outline List 2"/>
    <w:basedOn w:val="Ingenlista"/>
    <w:semiHidden/>
    <w:rsid w:val="00D556C8"/>
    <w:pPr>
      <w:numPr>
        <w:numId w:val="12"/>
      </w:numPr>
    </w:pPr>
  </w:style>
  <w:style w:type="paragraph" w:styleId="Liststycke">
    <w:name w:val="List Paragraph"/>
    <w:basedOn w:val="Normal"/>
    <w:uiPriority w:val="34"/>
    <w:qFormat/>
    <w:rsid w:val="00B20380"/>
    <w:pPr>
      <w:ind w:left="720"/>
      <w:contextualSpacing/>
    </w:pPr>
  </w:style>
  <w:style w:type="character" w:styleId="Hyperlnk">
    <w:name w:val="Hyperlink"/>
    <w:basedOn w:val="Standardstycketeckensnitt"/>
    <w:rsid w:val="00512314"/>
    <w:rPr>
      <w:color w:val="0563C1" w:themeColor="hyperlink"/>
      <w:u w:val="single"/>
    </w:rPr>
  </w:style>
  <w:style w:type="paragraph" w:customStyle="1" w:styleId="Default">
    <w:name w:val="Default"/>
    <w:rsid w:val="00F150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(fel teckensnitt – Georgia 12 pt</vt:lpstr>
    </vt:vector>
  </TitlesOfParts>
  <Company>Helikopter Reklambyrå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(fel teckensnitt – Georgia 12 pt</dc:title>
  <dc:subject/>
  <dc:creator>Sofia Jonsson</dc:creator>
  <cp:keywords/>
  <cp:lastModifiedBy>Anna Sandgren</cp:lastModifiedBy>
  <cp:revision>2</cp:revision>
  <cp:lastPrinted>2018-08-16T07:03:00Z</cp:lastPrinted>
  <dcterms:created xsi:type="dcterms:W3CDTF">2022-06-28T08:32:00Z</dcterms:created>
  <dcterms:modified xsi:type="dcterms:W3CDTF">2022-06-28T08:32:00Z</dcterms:modified>
</cp:coreProperties>
</file>